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left"/>
        <w:bidi w:val="1"/>
      </w:pPr>
      <w:r>
        <w:rPr>
          <w:rFonts w:ascii="Arial" w:hAnsi="Arial" w:cs="Arial" w:eastAsia="Arial"/>
          <w:sz w:val="24"/>
          <w:rtl w:val="1"/>
        </w:rPr>
        <w:drawing>
          <wp:inline xmlns:a="http://schemas.openxmlformats.org/drawingml/2006/main" xmlns:pic="http://schemas.openxmlformats.org/drawingml/2006/picture">
            <wp:extent cx="1965960" cy="13106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13618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31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160"/>
        <w:jc w:val="left"/>
        <w:keepNext/>
        <w:bidi w:val="1"/>
      </w:pPr>
      <w:r>
        <w:rPr>
          <w:rFonts w:ascii="Arial" w:hAnsi="Arial" w:cs="Arial" w:eastAsia="Arial"/>
          <w:b/>
          <w:color w:val="0F2D48"/>
          <w:sz w:val="28"/>
          <w:rtl w:val="1"/>
        </w:rPr>
        <w:t>الاختبار النهائي – اقتصاد الرياضة</w:t>
      </w:r>
    </w:p>
    <w:p>
      <w:pPr>
        <w:spacing w:after="140" w:before="160"/>
        <w:jc w:val="left"/>
        <w:keepNext/>
        <w:bidi w:val="1"/>
      </w:pPr>
      <w:r>
        <w:rPr>
          <w:rFonts w:ascii="Arial" w:hAnsi="Arial" w:cs="Arial" w:eastAsia="Arial"/>
          <w:b/>
          <w:color w:val="0F2D48"/>
          <w:sz w:val="28"/>
          <w:rtl w:val="1"/>
        </w:rPr>
        <w:t>Économie du sport | Sports Economics</w:t>
      </w:r>
    </w:p>
    <w:p>
      <w:pPr>
        <w:spacing w:after="140" w:before="160"/>
        <w:jc w:val="left"/>
        <w:keepNext/>
        <w:bidi w:val="1"/>
      </w:pPr>
      <w:r>
        <w:rPr>
          <w:rFonts w:ascii="Arial" w:hAnsi="Arial" w:cs="Arial" w:eastAsia="Arial"/>
          <w:b/>
          <w:color w:val="0F2D48"/>
          <w:sz w:val="28"/>
          <w:rtl w:val="1"/>
        </w:rPr>
        <w:t>BT3 – البكالوريا الفنية، السنة الثالثة | 2026–2027 | نسخة الطالب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3485"/>
        <w:gridCol w:w="3485"/>
        <w:gridCol w:w="3485"/>
      </w:tblGrid>
      <w:tr>
        <w:trPr>
          <w:tblHeader w:val="true"/>
        </w:trPr>
        <w:tc>
          <w:tcPr>
            <w:tcW w:type="dxa" w:w="3485"/>
            <w:bidiVisual w:val="1"/>
            <w:vAlign w:val="center"/>
            <w:shd w:fill="E7F0F2"/>
          </w:tcPr>
          <w:p>
            <w:pPr>
              <w:jc w:val="left"/>
              <w:bidi w:val="1"/>
            </w:pPr>
            <w:r>
              <w:rPr>
                <w:rFonts w:ascii="Arial" w:hAnsi="Arial" w:cs="Arial" w:eastAsia="Arial"/>
                <w:b/>
                <w:color w:val="0F2D48"/>
                <w:sz w:val="20"/>
                <w:rtl w:val="1"/>
              </w:rPr>
              <w:t>الاسم: ____________________</w:t>
            </w:r>
          </w:p>
        </w:tc>
        <w:tc>
          <w:tcPr>
            <w:tcW w:type="dxa" w:w="3485"/>
            <w:bidiVisual w:val="1"/>
            <w:vAlign w:val="center"/>
            <w:shd w:fill="E7F0F2"/>
          </w:tcPr>
          <w:p>
            <w:pPr>
              <w:jc w:val="left"/>
              <w:bidi w:val="1"/>
            </w:pPr>
            <w:r>
              <w:rPr>
                <w:rFonts w:ascii="Arial" w:hAnsi="Arial" w:cs="Arial" w:eastAsia="Arial"/>
                <w:b/>
                <w:color w:val="0F2D48"/>
                <w:sz w:val="20"/>
                <w:rtl w:val="1"/>
              </w:rPr>
              <w:t>الشعبة: __________</w:t>
            </w:r>
          </w:p>
        </w:tc>
        <w:tc>
          <w:tcPr>
            <w:tcW w:type="dxa" w:w="3485"/>
            <w:bidiVisual w:val="1"/>
            <w:vAlign w:val="center"/>
            <w:shd w:fill="E7F0F2"/>
          </w:tcPr>
          <w:p>
            <w:pPr>
              <w:jc w:val="left"/>
              <w:bidi w:val="1"/>
            </w:pPr>
            <w:r>
              <w:rPr>
                <w:rFonts w:ascii="Arial" w:hAnsi="Arial" w:cs="Arial" w:eastAsia="Arial"/>
                <w:b/>
                <w:color w:val="0F2D48"/>
                <w:sz w:val="20"/>
                <w:rtl w:val="1"/>
              </w:rPr>
              <w:t>التاريخ: __________</w:t>
            </w:r>
          </w:p>
        </w:tc>
      </w:tr>
      <w:tr>
        <w:tc>
          <w:tcPr>
            <w:tcW w:type="dxa" w:w="3485"/>
            <w:bidiVisual w:val="1"/>
            <w:vAlign w:val="center"/>
          </w:tcPr>
          <w:p>
            <w:pPr>
              <w:jc w:val="left"/>
              <w:bidi w:val="1"/>
            </w:pPr>
            <w:r>
              <w:rPr>
                <w:rFonts w:ascii="Arial" w:hAnsi="Arial" w:cs="Arial" w:eastAsia="Arial"/>
                <w:b/>
                <w:sz w:val="20"/>
                <w:rtl w:val="1"/>
              </w:rPr>
              <w:t>المدة المقترحة: 60 دقيقة</w:t>
            </w:r>
          </w:p>
        </w:tc>
        <w:tc>
          <w:tcPr>
            <w:tcW w:type="dxa" w:w="3485"/>
            <w:bidiVisual w:val="1"/>
            <w:vAlign w:val="center"/>
          </w:tcPr>
          <w:p>
            <w:pPr>
              <w:jc w:val="left"/>
              <w:bidi w:val="1"/>
            </w:pPr>
            <w:r>
              <w:rPr>
                <w:rFonts w:ascii="Arial" w:hAnsi="Arial" w:cs="Arial" w:eastAsia="Arial"/>
                <w:b/>
                <w:sz w:val="20"/>
                <w:rtl w:val="1"/>
              </w:rPr>
              <w:t>العلامة: /20</w:t>
            </w:r>
          </w:p>
        </w:tc>
        <w:tc>
          <w:tcPr>
            <w:tcW w:type="dxa" w:w="3485"/>
            <w:bidiVisual w:val="1"/>
            <w:vAlign w:val="center"/>
          </w:tcPr>
          <w:p>
            <w:pPr>
              <w:jc w:val="left"/>
              <w:bidi w:val="1"/>
            </w:pPr>
            <w:r>
              <w:rPr>
                <w:rFonts w:ascii="Arial" w:hAnsi="Arial" w:cs="Arial" w:eastAsia="Arial"/>
                <w:b/>
                <w:sz w:val="20"/>
                <w:rtl w:val="1"/>
              </w:rPr>
              <w:t>الأستاذ: باسم الحسين</w:t>
            </w:r>
          </w:p>
        </w:tc>
      </w:tr>
    </w:tbl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تعليمات: أظهر خطوات الحساب، استخدم المصطلحات بدقة، وبرر القرارات بالبيانات. لا توجد إجابة واحدة في أسئلة القرار إذا كان التبرير صحيحًا.</w:t>
      </w:r>
    </w:p>
    <w:p>
      <w:pPr>
        <w:spacing w:after="100"/>
        <w:jc w:val="left"/>
        <w:bidi w:val="1"/>
        <w:keepNext/>
      </w:pPr>
      <w:r>
        <w:rPr>
          <w:rFonts w:ascii="Arial" w:hAnsi="Arial" w:cs="Arial" w:eastAsia="Arial"/>
          <w:b/>
          <w:color w:val="17365D"/>
          <w:sz w:val="24"/>
          <w:rtl w:val="1"/>
        </w:rPr>
        <w:t>القسم الأول: الفهم المفاهيمي /4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/>
          <w:color w:val="1F2937"/>
          <w:sz w:val="24"/>
          <w:rtl w:val="1"/>
        </w:rPr>
        <w:t>1. اشرح الفرق بين: إيراد المنظم، إنفاق الزوار، والأثر الاقتصادي الصافي. /2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/>
          <w:color w:val="1F2937"/>
          <w:sz w:val="24"/>
          <w:rtl w:val="1"/>
        </w:rPr>
        <w:t>2. اشرح لماذا لا يعني تحقيق فائض مالي في فترة واحدة أن النادي أصبح مستدامًا ماليًا. /2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............................................................................................................................</w:t>
      </w:r>
    </w:p>
    <w:p>
      <w:pPr>
        <w:spacing w:after="100"/>
        <w:jc w:val="left"/>
        <w:bidi w:val="1"/>
        <w:keepNext/>
      </w:pPr>
      <w:r>
        <w:rPr>
          <w:rFonts w:ascii="Arial" w:hAnsi="Arial" w:cs="Arial" w:eastAsia="Arial"/>
          <w:b/>
          <w:color w:val="17365D"/>
          <w:sz w:val="24"/>
          <w:rtl w:val="1"/>
        </w:rPr>
        <w:t>القسم الثاني: الحساب والتحليل المالي /6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1F2937"/>
          <w:sz w:val="24"/>
          <w:rtl w:val="1"/>
        </w:rPr>
        <w:t>ينظم نادٍ حدثًا رياضيًا. يتوقع 300 مشارك، رسم المشاركة 25$، التكاليف الثابتة 3,600$، والتكلفة المتغيرة 7$ لكل مشارك. توجد رعاية مؤكدة قدرها 900$ تغطي تكاليف الحدث.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/>
          <w:color w:val="1F2937"/>
          <w:sz w:val="24"/>
          <w:rtl w:val="1"/>
        </w:rPr>
        <w:t>أ. احسب إيرادات التسجيل. /1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/>
          <w:color w:val="1F2937"/>
          <w:sz w:val="24"/>
          <w:rtl w:val="1"/>
        </w:rPr>
        <w:t>ب. احسب إجمالي التكلفة المتغيرة. /1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/>
          <w:color w:val="1F2937"/>
          <w:sz w:val="24"/>
          <w:rtl w:val="1"/>
        </w:rPr>
        <w:t>ج. احسب إجمالي الإيرادات بما فيها الرعاية. /1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/>
          <w:color w:val="1F2937"/>
          <w:sz w:val="24"/>
          <w:rtl w:val="1"/>
        </w:rPr>
        <w:t>د. احسب التكلفة الكلية والنتيجة المالية. /1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/>
          <w:color w:val="1F2937"/>
          <w:sz w:val="24"/>
          <w:rtl w:val="1"/>
        </w:rPr>
        <w:t>هـ. احسب هامش المساهمة لكل مشارك. /1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/>
          <w:color w:val="1F2937"/>
          <w:sz w:val="24"/>
          <w:rtl w:val="1"/>
        </w:rPr>
        <w:t>و. بعد اعتبار الرعاية المؤكدة مساهمة ثابتة في تغطية التكاليف، احسب نقطة التعادل التشغيلية وعدد المشاركين الأدنى. /1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............................................................................................................................</w:t>
      </w:r>
    </w:p>
    <w:p>
      <w:pPr>
        <w:spacing w:after="100"/>
        <w:jc w:val="left"/>
        <w:bidi w:val="1"/>
        <w:keepNext/>
      </w:pPr>
      <w:r>
        <w:rPr>
          <w:rFonts w:ascii="Arial" w:hAnsi="Arial" w:cs="Arial" w:eastAsia="Arial"/>
          <w:b/>
          <w:color w:val="17365D"/>
          <w:sz w:val="24"/>
          <w:rtl w:val="1"/>
        </w:rPr>
        <w:t>القسم الثالث: مقارنة حدثين /4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1F2937"/>
          <w:sz w:val="24"/>
          <w:rtl w:val="1"/>
        </w:rPr>
        <w:t>الحدث A: إيراد 1,000,000$، تكلفة 950,000$، حضور 50,000، ومنشأتان جديدتان منخفضتا الاستخدام بعد الحدث. الحدث B: إيراد 650,000$، تكلفة 500,000$، حضور 20,000، ويستخدم منشآت قائمة بكثافة بعد الحدث.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/>
          <w:color w:val="1F2937"/>
          <w:sz w:val="24"/>
          <w:rtl w:val="1"/>
        </w:rPr>
        <w:t>3. احسب النتيجة المالية لكل حدث، ثم قرر هل يمكن اعتبار A أفضل لأنه أكبر حضورًا وإيرادًا. استخدم في تحليلك الكفاءة أو الاستدامة/الإرث، واذكر معلومة إضافية تحتاجها قبل القرار النهائي. /4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............................................................................................................................</w:t>
      </w:r>
    </w:p>
    <w:p>
      <w:pPr>
        <w:spacing w:after="100"/>
        <w:jc w:val="left"/>
        <w:bidi w:val="1"/>
        <w:keepNext/>
      </w:pPr>
      <w:r>
        <w:rPr>
          <w:rFonts w:ascii="Arial" w:hAnsi="Arial" w:cs="Arial" w:eastAsia="Arial"/>
          <w:b/>
          <w:color w:val="17365D"/>
          <w:sz w:val="24"/>
          <w:rtl w:val="1"/>
        </w:rPr>
        <w:t>القسم الرابع: قرار إداري متكامل /6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1F2937"/>
          <w:sz w:val="24"/>
          <w:rtl w:val="1"/>
        </w:rPr>
        <w:t>اتحاد وطني لديه 50,000$ لبرنامج تطوير واحد أو مجموعة برامج: تطوير الناشئين 25,000$، المنتخب 30,000$، النظام الرقمي 15,000$، تطوير الحكام 10,000$. لاحظ الاتحاد انخفاض أعداد الناشئين وضعفًا في بيانات المتابعة، بينما نتائج المنتخب الحالية جيدة.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/>
          <w:color w:val="1F2937"/>
          <w:sz w:val="24"/>
          <w:rtl w:val="1"/>
        </w:rPr>
        <w:t>4. اقترح توزيعًا لا يتجاوز 50,000$. حدّد الهدف، والبرامج المختارة، وما تم التخلي عنه، وتكلفة الفرصة البديلة، وخطرًا واحدًا، واثنين من KPI لمتابعة القرار. /6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/>
          <w:color w:val="B8860B"/>
          <w:sz w:val="24"/>
          <w:rtl w:val="1"/>
        </w:rPr>
        <w:t>انتهت الأسئلة – راجع: البيانات ← الحساب ← المقارنة ← المخاطر ← القرار ← KPI.</w:t>
      </w:r>
    </w:p>
    <w:sectPr w:rsidR="00FC693F" w:rsidRPr="0006063C" w:rsidSect="00034616">
      <w:headerReference w:type="default" r:id="rId10"/>
      <w:footerReference w:type="default" r:id="rId11"/>
      <w:pgSz w:w="11906" w:h="16838"/>
      <w:pgMar w:top="992" w:right="992" w:bottom="935" w:left="992" w:header="510" w:footer="48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bidi w:val="1"/>
    </w:pPr>
    <w:r>
      <w:rPr>
        <w:rFonts w:ascii="Arial" w:hAnsi="Arial" w:cs="Arial" w:eastAsia="Arial"/>
        <w:color w:val="535C63"/>
        <w:sz w:val="16"/>
        <w:rtl w:val="1"/>
      </w:rPr>
      <w:t xml:space="preserve">الأستاذ باسم الحسين   •   نسخة مرجعية تعليمية داخلية   |   الصفحة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left"/>
    </w:pPr>
    <w:r>
      <w:rPr>
        <w:rFonts w:ascii="Arial" w:hAnsi="Arial" w:cs="Arial" w:eastAsia="Arial"/>
        <w:b/>
        <w:color w:val="535C63"/>
        <w:sz w:val="16"/>
        <w:rtl w:val="1"/>
      </w:rPr>
      <w:t>BH   |   الاقتصاد الرياضي BT3   •   2026–2027   |   الامتحان النهائي - الطالب</w:t>
    </w: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4896"/>
      <w:gridCol w:w="4896"/>
    </w:tblGrid>
    <w:tr>
      <w:tc>
        <w:tcPr>
          <w:tcW w:type="dxa" w:w="4896"/>
          <w:bidiVisual w:val="1"/>
        </w:tcPr>
        <w:p>
          <w:pPr>
            <w:jc w:val="right"/>
            <w:bidi w:val="1"/>
          </w:pPr>
          <w:r>
            <w:rPr>
              <w:rFonts w:ascii="Arial" w:hAnsi="Arial"/>
              <w:b/>
              <w:color w:val="B8860B"/>
              <w:sz w:val="16"/>
            </w:rPr>
            <w:t>BH | BASSEM AL HOUSSEIN</w:t>
          </w:r>
        </w:p>
      </w:tc>
      <w:tc>
        <w:tcPr>
          <w:tcW w:type="dxa" w:w="4896"/>
          <w:bidiVisual w:val="1"/>
        </w:tcPr>
        <w:p>
          <w:pPr>
            <w:jc w:val="right"/>
            <w:bidi w:val="1"/>
          </w:pPr>
          <w:r>
            <w:rPr>
              <w:rFonts w:ascii="Arial" w:hAnsi="Arial"/>
              <w:b/>
              <w:color w:val="17365D"/>
              <w:sz w:val="16"/>
            </w:rPr>
            <w:t>الاختبار النهائي | اقتصاد الرياضة | BT3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1" w:lineRule="auto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الاقتصاد الرياضي BT3 - الامتحان النهائي - الطالب</dc:title>
  <dc:subject/>
  <dc:creator>باسم الحسين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